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eastAsia"/>
          <w:b/>
          <w:sz w:val="20"/>
          <w:szCs w:val="20"/>
        </w:rPr>
      </w:pPr>
      <w:bookmarkStart w:id="0" w:name="DocumentFor"/>
      <w:bookmarkEnd w:id="0"/>
      <w:bookmarkStart w:id="1" w:name="Title"/>
      <w:bookmarkEnd w:id="1"/>
      <w:r>
        <w:rPr>
          <w:b/>
          <w:sz w:val="20"/>
          <w:szCs w:val="20"/>
        </w:rPr>
        <w:t>3GPP TSG RA</w:t>
      </w:r>
      <w:bookmarkStart w:id="4" w:name="_GoBack"/>
      <w:bookmarkEnd w:id="4"/>
      <w:r>
        <w:rPr>
          <w:b/>
          <w:sz w:val="20"/>
          <w:szCs w:val="20"/>
        </w:rPr>
        <w:t>N WG2</w:t>
      </w:r>
      <w:r>
        <w:rPr>
          <w:rFonts w:hint="eastAsia"/>
          <w:b/>
          <w:sz w:val="20"/>
          <w:szCs w:val="20"/>
        </w:rPr>
        <w:t xml:space="preserve"> Meeting </w:t>
      </w:r>
      <w:r>
        <w:rPr>
          <w:b/>
          <w:sz w:val="20"/>
          <w:szCs w:val="20"/>
        </w:rPr>
        <w:t>#1</w:t>
      </w:r>
      <w:r>
        <w:rPr>
          <w:rFonts w:hint="eastAsia" w:eastAsia="宋体"/>
          <w:b/>
          <w:sz w:val="20"/>
          <w:szCs w:val="20"/>
          <w:lang w:val="en-US" w:eastAsia="zh-CN"/>
        </w:rPr>
        <w:t>27</w:t>
      </w:r>
      <w:r>
        <w:rPr>
          <w:b/>
          <w:sz w:val="20"/>
          <w:szCs w:val="20"/>
        </w:rPr>
        <w:tab/>
      </w:r>
      <w:r>
        <w:rPr>
          <w:rFonts w:hint="eastAsia"/>
          <w:b/>
          <w:sz w:val="20"/>
          <w:szCs w:val="20"/>
        </w:rPr>
        <w:t>R2-2406974</w:t>
      </w:r>
    </w:p>
    <w:p>
      <w:pPr>
        <w:pStyle w:val="56"/>
        <w:jc w:val="left"/>
        <w:rPr>
          <w:rFonts w:hint="eastAsia" w:cs="Arial"/>
          <w:sz w:val="20"/>
          <w:szCs w:val="20"/>
        </w:rPr>
      </w:pPr>
      <w:r>
        <w:rPr>
          <w:rFonts w:hint="eastAsia" w:cs="Arial"/>
          <w:sz w:val="20"/>
          <w:szCs w:val="20"/>
        </w:rPr>
        <w:t>Maastricht, Netherlands, Aug 19</w:t>
      </w:r>
      <w:r>
        <w:rPr>
          <w:rFonts w:hint="eastAsia" w:cs="Arial"/>
          <w:sz w:val="20"/>
          <w:szCs w:val="20"/>
          <w:vertAlign w:val="superscript"/>
        </w:rPr>
        <w:t>th</w:t>
      </w:r>
      <w:r>
        <w:rPr>
          <w:rFonts w:hint="eastAsia" w:cs="Arial"/>
          <w:sz w:val="20"/>
          <w:szCs w:val="20"/>
        </w:rPr>
        <w:t xml:space="preserve"> – 23</w:t>
      </w:r>
      <w:r>
        <w:rPr>
          <w:rFonts w:hint="eastAsia" w:cs="Arial"/>
          <w:sz w:val="20"/>
          <w:szCs w:val="20"/>
          <w:vertAlign w:val="superscript"/>
        </w:rPr>
        <w:t>rd</w:t>
      </w:r>
      <w:r>
        <w:rPr>
          <w:rFonts w:hint="eastAsia" w:cs="Arial"/>
          <w:sz w:val="20"/>
          <w:szCs w:val="20"/>
        </w:rPr>
        <w:t>, 2024</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cs="Arial" w:eastAsiaTheme="minorEastAsia"/>
          <w:sz w:val="20"/>
          <w:szCs w:val="20"/>
          <w:lang w:val="en-US" w:eastAsia="zh-CN"/>
        </w:rPr>
        <w:t>Considerations on uplink capacity enhancement for IoT-NTN</w:t>
      </w:r>
    </w:p>
    <w:p>
      <w:pPr>
        <w:pStyle w:val="56"/>
        <w:jc w:val="left"/>
        <w:rPr>
          <w:rFonts w:cs="Arial" w:eastAsiaTheme="minorEastAsia"/>
          <w:sz w:val="20"/>
          <w:szCs w:val="20"/>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rPr>
          <w:lang w:val="en-US"/>
        </w:rPr>
      </w:pPr>
      <w:r>
        <w:rPr>
          <w:rFonts w:hint="eastAsia" w:eastAsia="宋体"/>
          <w:bCs/>
          <w:lang w:val="en-US" w:eastAsia="zh-CN"/>
        </w:rPr>
        <w:t>In last meeting, we have mainly discussed the early data transmission scope for IoT-NTN and achieved some agreements as follows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RAN2 focusses the study on contention-based Msg3 transmission to complete an EDT-like transaction (FFS on the details of Msg3. FFS on the procedural steps, e.g. how much we reuse of EDT and PUR procedures. FFS on allocation of resources).</w:t>
      </w:r>
    </w:p>
    <w:p>
      <w:pPr>
        <w:pStyle w:val="6"/>
        <w:numPr>
          <w:ilvl w:val="0"/>
          <w:numId w:val="11"/>
        </w:numPr>
        <w:pBdr>
          <w:top w:val="single" w:color="auto" w:sz="4" w:space="1"/>
          <w:left w:val="single" w:color="auto" w:sz="4" w:space="4"/>
          <w:bottom w:val="single" w:color="auto" w:sz="4" w:space="1"/>
          <w:right w:val="single" w:color="auto" w:sz="4" w:space="4"/>
        </w:pBdr>
      </w:pPr>
      <w: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pPr>
        <w:pStyle w:val="6"/>
        <w:numPr>
          <w:ilvl w:val="0"/>
          <w:numId w:val="11"/>
        </w:numPr>
        <w:pBdr>
          <w:top w:val="single" w:color="auto" w:sz="4" w:space="1"/>
          <w:left w:val="single" w:color="auto" w:sz="4" w:space="4"/>
          <w:bottom w:val="single" w:color="auto" w:sz="4" w:space="1"/>
          <w:right w:val="single" w:color="auto" w:sz="4" w:space="4"/>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discussions on the FFS issues for</w:t>
      </w:r>
      <w:r>
        <w:rPr>
          <w:rFonts w:cs="Arial"/>
        </w:rPr>
        <w:t xml:space="preserve"> </w:t>
      </w:r>
      <w:r>
        <w:rPr>
          <w:rFonts w:hint="eastAsia" w:eastAsia="宋体" w:cs="Arial"/>
          <w:lang w:val="en-US" w:eastAsia="zh-CN"/>
        </w:rPr>
        <w:t>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Contention-based Msg3 transmission</w:t>
      </w:r>
    </w:p>
    <w:p>
      <w:pPr>
        <w:pStyle w:val="60"/>
        <w:numPr>
          <w:ilvl w:val="0"/>
          <w:numId w:val="0"/>
        </w:numPr>
        <w:overflowPunct w:val="0"/>
        <w:autoSpaceDE w:val="0"/>
        <w:autoSpaceDN w:val="0"/>
        <w:adjustRightInd w:val="0"/>
        <w:spacing w:after="0"/>
        <w:jc w:val="left"/>
        <w:textAlignment w:val="baseline"/>
        <w:rPr>
          <w:rFonts w:hint="eastAsia" w:eastAsia="宋体"/>
          <w:lang w:val="en-US" w:eastAsia="zh-CN"/>
        </w:rPr>
      </w:pPr>
      <w:r>
        <w:rPr>
          <w:rFonts w:hint="eastAsia" w:eastAsiaTheme="minorEastAsia"/>
          <w:b w:val="0"/>
          <w:bCs w:val="0"/>
          <w:sz w:val="20"/>
          <w:szCs w:val="20"/>
          <w:lang w:val="en-US" w:eastAsia="zh-CN"/>
        </w:rPr>
        <w:t>In last meeting, we agreed to focus on the</w:t>
      </w:r>
      <w:r>
        <w:t xml:space="preserve"> contention-based Msg3 transmission to complete an EDT-like transaction</w:t>
      </w:r>
      <w:r>
        <w:rPr>
          <w:rFonts w:hint="eastAsia" w:eastAsia="宋体"/>
          <w:lang w:val="en-US" w:eastAsia="zh-CN"/>
        </w:rPr>
        <w:t>, however some issues are FFS, FFS on the details of Msg3. FFS on the procedural steps, e.g. how much we reuse of EDT and PUR procedures. FFS on allocation of resources. We would like to provide some analysis for the FFS issues respectively.</w:t>
      </w:r>
    </w:p>
    <w:p>
      <w:pPr>
        <w:pStyle w:val="60"/>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Msg3 details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In the current TS 36.300, MO-EDT is triggered when the upper layers have requested the establishment or resumption of the RRC Connection for Mobile Originated data (i.e., not signalling or SMS) and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1: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For </w:t>
      </w:r>
      <w:r>
        <w:t>contention-based Msg3 transmission</w:t>
      </w:r>
      <w:r>
        <w:rPr>
          <w:rFonts w:hint="eastAsia" w:eastAsia="宋体"/>
          <w:lang w:val="en-US" w:eastAsia="zh-CN"/>
        </w:rPr>
        <w:t xml:space="preserve"> for EDT in IoT-NTN, the trigger condition may at least support the </w:t>
      </w:r>
      <w:r>
        <w:rPr>
          <w:rFonts w:hint="eastAsia" w:eastAsia="宋体"/>
          <w:b w:val="0"/>
          <w:bCs/>
          <w:i w:val="0"/>
          <w:iCs w:val="0"/>
          <w:lang w:val="en-US" w:eastAsia="zh-CN"/>
        </w:rPr>
        <w:t>establishment or resumption of the RRC Connection requested by the upper layers. Then for uplink data size whether less than or equal to a TB size indicated in the SI could be postponed until how to provide uplink resource for Msg3 transmission without Msg1/Msg2 make more detail progress.</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1: For the trigger of contention-based Msg3 transmission in IoT-NTN, it is at least to support the establishment or resumption of the RRC Connection requested by the upper layers.</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Per the existing MO-EDT, Msg3 includes </w:t>
      </w:r>
      <w:r>
        <w:rPr>
          <w:rFonts w:ascii="Arial" w:hAnsi="Arial" w:eastAsia="宋体" w:cs="Arial"/>
          <w:i/>
          <w:iCs/>
          <w:lang w:val="en-US" w:eastAsia="zh-CN"/>
        </w:rPr>
        <w:t>RRCEarlyDataRequest</w:t>
      </w:r>
      <w:r>
        <w:rPr>
          <w:rFonts w:ascii="Arial" w:hAnsi="Arial" w:eastAsia="宋体" w:cs="Arial"/>
          <w:lang w:val="en-US" w:eastAsia="zh-CN"/>
        </w:rPr>
        <w:t xml:space="preserve"> message concatenating the user data on CCCH</w:t>
      </w:r>
      <w:r>
        <w:rPr>
          <w:rFonts w:hint="eastAsia" w:eastAsia="宋体" w:cs="Arial"/>
          <w:lang w:val="en-US" w:eastAsia="zh-CN"/>
        </w:rPr>
        <w:t xml:space="preserve"> or </w:t>
      </w:r>
      <w:r>
        <w:rPr>
          <w:rFonts w:hint="eastAsia" w:eastAsia="宋体" w:cs="Arial"/>
          <w:i/>
          <w:iCs/>
          <w:lang w:val="en-US" w:eastAsia="zh-CN"/>
        </w:rPr>
        <w:t>RRCConnectionResumeRequest</w:t>
      </w:r>
      <w:r>
        <w:rPr>
          <w:rFonts w:hint="eastAsia" w:eastAsia="宋体" w:cs="Arial"/>
          <w:lang w:val="en-US" w:eastAsia="zh-CN"/>
        </w:rPr>
        <w:t xml:space="preserve"> message on CCCH multiplexed with uplink user data on DTCH for </w:t>
      </w:r>
      <w:r>
        <w:rPr>
          <w:rFonts w:ascii="Arial" w:hAnsi="Arial" w:eastAsia="宋体" w:cs="Arial"/>
          <w:lang w:val="en-US" w:eastAsia="zh-CN"/>
        </w:rPr>
        <w:t>Control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and </w:t>
      </w:r>
      <w:r>
        <w:rPr>
          <w:rFonts w:ascii="Arial" w:hAnsi="Arial" w:eastAsia="宋体" w:cs="Arial"/>
          <w:lang w:val="en-US" w:eastAsia="zh-CN"/>
        </w:rPr>
        <w:t>User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respectively. Then for the Msg3 content in </w:t>
      </w:r>
      <w:r>
        <w:t>contention-based Msg3 transmission</w:t>
      </w:r>
      <w:r>
        <w:rPr>
          <w:rFonts w:hint="eastAsia" w:eastAsia="宋体"/>
          <w:lang w:val="en-US" w:eastAsia="zh-CN"/>
        </w:rPr>
        <w:t xml:space="preserve">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2: For the Msg3 content in contention-based Msg3 transmission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Resource allocation</w:t>
      </w:r>
    </w:p>
    <w:p>
      <w:pPr>
        <w:pStyle w:val="60"/>
        <w:spacing w:after="0"/>
        <w:ind w:left="0" w:firstLine="0"/>
        <w:rPr>
          <w:rFonts w:hint="eastAsia" w:eastAsia="宋体"/>
          <w:bCs/>
          <w:lang w:val="en-US" w:eastAsia="zh-CN"/>
        </w:rPr>
      </w:pPr>
      <w:r>
        <w:rPr>
          <w:rFonts w:hint="eastAsia" w:eastAsiaTheme="minorEastAsia"/>
          <w:b w:val="0"/>
          <w:bCs w:val="0"/>
          <w:sz w:val="20"/>
          <w:szCs w:val="20"/>
          <w:lang w:val="en-US" w:eastAsia="zh-CN"/>
        </w:rPr>
        <w:t xml:space="preserve">To increase the UL system capacity, solutions reducing the reliance on DL signaling could be discussed. Some existing solution such as preconfigured uplink resource (PUR) could be considered. However, the existing PUR scheme is contention free shared (CFS) and needs to reserve resources for a given UE, which only supports a limited number of pre-configured UL transmission, having an impact on the potential gains as well as network capacity available to other UEs. To resolve the issue, a contention based PUR solution could be discussed. Network broadcasts one or several shared PUR pool(s) in a cell, then all the UEs in the cell select the UL resources in the PUR pool(s) randomly. Further, with the shared PUR pool(s), UE could perform EDT procedure </w:t>
      </w:r>
      <w:r>
        <w:rPr>
          <w:bCs/>
        </w:rPr>
        <w:t>without msg1/RAR</w:t>
      </w:r>
      <w:r>
        <w:rPr>
          <w:rFonts w:hint="eastAsia" w:eastAsia="宋体"/>
          <w:bCs/>
          <w:lang w:val="en-US" w:eastAsia="zh-CN"/>
        </w:rPr>
        <w:t>, that is to transmit msg3 directly to the network.</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3: For resource allocation, one or more contention-based PUR pool(s) could be configured via broadcast manner.</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Contention Resolution</w:t>
      </w:r>
    </w:p>
    <w:p>
      <w:pPr>
        <w:pStyle w:val="60"/>
        <w:spacing w:after="0"/>
        <w:ind w:left="0" w:firstLine="0"/>
        <w:rPr>
          <w:rFonts w:hint="default" w:eastAsia="宋体"/>
          <w:lang w:val="en-US" w:eastAsia="zh-CN"/>
        </w:rPr>
      </w:pPr>
      <w:r>
        <w:rPr>
          <w:rFonts w:hint="eastAsia" w:eastAsia="宋体"/>
          <w:bCs/>
          <w:lang w:val="en-US" w:eastAsia="zh-CN"/>
        </w:rPr>
        <w:t xml:space="preserve">However, with </w:t>
      </w:r>
      <w:r>
        <w:rPr>
          <w:rFonts w:hint="eastAsia" w:eastAsiaTheme="minorEastAsia"/>
          <w:b w:val="0"/>
          <w:bCs w:val="0"/>
          <w:sz w:val="20"/>
          <w:szCs w:val="20"/>
          <w:lang w:val="en-US" w:eastAsia="zh-CN"/>
        </w:rPr>
        <w:t>contention based shared PUR resource, obviously, there will still be a collision issue. And we could consider a similar c</w:t>
      </w:r>
      <w:r>
        <w:rPr>
          <w:lang w:eastAsia="ko-KR"/>
        </w:rPr>
        <w:t xml:space="preserve">ontention </w:t>
      </w:r>
      <w:r>
        <w:rPr>
          <w:rFonts w:hint="eastAsia" w:eastAsia="宋体"/>
          <w:lang w:val="en-US" w:eastAsia="zh-CN"/>
        </w:rPr>
        <w:t>r</w:t>
      </w:r>
      <w:r>
        <w:rPr>
          <w:lang w:eastAsia="ko-KR"/>
        </w:rPr>
        <w:t>esolution</w:t>
      </w:r>
      <w:r>
        <w:rPr>
          <w:rFonts w:hint="eastAsia" w:eastAsia="宋体"/>
          <w:lang w:val="en-US" w:eastAsia="zh-CN"/>
        </w:rPr>
        <w:t xml:space="preserve"> scheme in CBRA procedure. In detail, network receives the CCCH SDU included in the Msg3 and transmitted Msg4 carrying a </w:t>
      </w:r>
      <w:r>
        <w:rPr>
          <w:lang w:eastAsia="ko-KR"/>
        </w:rPr>
        <w:t>UE Contention Resolution Identity MAC CE</w:t>
      </w:r>
      <w:r>
        <w:rPr>
          <w:rFonts w:hint="eastAsia" w:eastAsia="宋体"/>
          <w:lang w:val="en-US" w:eastAsia="zh-CN"/>
        </w:rPr>
        <w:t xml:space="preserve">. If the UE Contention Resolution Identity in the MAC CE matches the 48 first bits of the CCCH SDU transmitted in Msg3, this </w:t>
      </w:r>
      <w:r>
        <w:rPr>
          <w:lang w:eastAsia="ko-KR"/>
        </w:rPr>
        <w:t>Contention Resolution</w:t>
      </w:r>
      <w:r>
        <w:rPr>
          <w:rFonts w:hint="eastAsia" w:eastAsia="宋体"/>
          <w:lang w:val="en-US" w:eastAsia="zh-CN"/>
        </w:rPr>
        <w:t xml:space="preserve"> could be considered successfully.</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4: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p>
    <w:p>
      <w:pPr>
        <w:pStyle w:val="60"/>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Procedural step</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Based on above, procedure combination EDT and contention-based PUR for Control Plane CIoT EPS Optimisations and User Plane CIoT EPS Optimisation are provided as following respectively:</w:t>
      </w: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drawing>
          <wp:inline distT="0" distB="0" distL="114300" distR="114300">
            <wp:extent cx="6118225" cy="2819400"/>
            <wp:effectExtent l="0" t="0" r="15875" b="0"/>
            <wp:docPr id="1" name="图片 1" descr="EDT C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DT CP "/>
                    <pic:cNvPicPr>
                      <a:picLocks noChangeAspect="1"/>
                    </pic:cNvPicPr>
                  </pic:nvPicPr>
                  <pic:blipFill>
                    <a:blip r:embed="rId11"/>
                    <a:stretch>
                      <a:fillRect/>
                    </a:stretch>
                  </pic:blipFill>
                  <pic:spPr>
                    <a:xfrm>
                      <a:off x="0" y="0"/>
                      <a:ext cx="6118225" cy="2819400"/>
                    </a:xfrm>
                    <a:prstGeom prst="rect">
                      <a:avLst/>
                    </a:prstGeom>
                  </pic:spPr>
                </pic:pic>
              </a:graphicData>
            </a:graphic>
          </wp:inline>
        </w:drawing>
      </w:r>
    </w:p>
    <w:p>
      <w:pPr>
        <w:pStyle w:val="74"/>
      </w:pPr>
      <w:r>
        <w:t xml:space="preserve">Figure </w:t>
      </w:r>
      <w:r>
        <w:rPr>
          <w:rFonts w:hint="eastAsia" w:eastAsia="宋体"/>
          <w:lang w:val="en-US" w:eastAsia="zh-CN"/>
        </w:rPr>
        <w:t>1</w:t>
      </w:r>
      <w:r>
        <w:t>: Transmission using PUR for the Control Plane CIoT EPS Optimisations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shared PUR pool(s)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Control Plane CIoT EPS optimisations in Figure 7.3b-1</w:t>
      </w:r>
      <w:r>
        <w:rPr>
          <w:rFonts w:hint="eastAsia" w:eastAsia="宋体"/>
          <w:b w:val="0"/>
          <w:bCs/>
          <w:i w:val="0"/>
          <w:iCs w:val="0"/>
          <w:lang w:val="en-US" w:eastAsia="zh-CN"/>
        </w:rPr>
        <w:t xml:space="preserve"> </w:t>
      </w:r>
      <w:r>
        <w:rPr>
          <w:rFonts w:hint="default" w:eastAsia="宋体"/>
          <w:b w:val="0"/>
          <w:bCs/>
          <w:i w:val="0"/>
          <w:iCs w:val="0"/>
          <w:lang w:val="en-US" w:eastAsia="zh-CN"/>
        </w:rPr>
        <w:t xml:space="preserve">except that the UE transmits over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uplink data are too large to be included in RRCEarlyDataRequest, the UE can use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to transmit RRCConnectionRequest. The procedure will fall back to the legacy RRC Connection establishment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2..6 Same as MO-EDT for Control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7.3b-1.</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7</w:t>
      </w:r>
      <w:r>
        <w:rPr>
          <w:rFonts w:hint="default" w:eastAsia="宋体"/>
          <w:b w:val="0"/>
          <w:bCs/>
          <w:i w:val="0"/>
          <w:iCs w:val="0"/>
          <w:lang w:val="en-US" w:eastAsia="zh-CN"/>
        </w:rPr>
        <w:tab/>
      </w:r>
      <w:r>
        <w:t xml:space="preserve">If no further data are expected, the eNB can send the </w:t>
      </w:r>
      <w:r>
        <w:rPr>
          <w:i/>
        </w:rPr>
        <w:t>RRCEarlyDataComplete</w:t>
      </w:r>
      <w:r>
        <w:rPr>
          <w:rFonts w:hint="eastAsia" w:eastAsia="宋体"/>
          <w:i/>
          <w:lang w:val="en-US" w:eastAsia="zh-CN"/>
        </w:rPr>
        <w:t xml:space="preserve"> </w:t>
      </w:r>
      <w:r>
        <w:t>message</w:t>
      </w:r>
      <w:r>
        <w:rPr>
          <w:rFonts w:hint="eastAsia" w:eastAsia="宋体"/>
          <w:lang w:val="en-US" w:eastAsia="zh-CN"/>
        </w:rPr>
        <w:t xml:space="preserve"> including </w:t>
      </w:r>
      <w:r>
        <w:t xml:space="preserve">UE Contention Resolution Identity on CCCH to keep the UE in RRC_IDLE. If downlink data were received in step 6, they are concatenated in </w:t>
      </w:r>
      <w:r>
        <w:rPr>
          <w:i/>
        </w:rPr>
        <w:t xml:space="preserve">RRCEarlyDataComplete </w:t>
      </w:r>
      <w:r>
        <w:t>message.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drawing>
          <wp:inline distT="0" distB="0" distL="114300" distR="114300">
            <wp:extent cx="6118225" cy="2918460"/>
            <wp:effectExtent l="0" t="0" r="15875" b="15240"/>
            <wp:docPr id="2" name="图片 2" descr="EDT 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DT UP "/>
                    <pic:cNvPicPr>
                      <a:picLocks noChangeAspect="1"/>
                    </pic:cNvPicPr>
                  </pic:nvPicPr>
                  <pic:blipFill>
                    <a:blip r:embed="rId12"/>
                    <a:stretch>
                      <a:fillRect/>
                    </a:stretch>
                  </pic:blipFill>
                  <pic:spPr>
                    <a:xfrm>
                      <a:off x="0" y="0"/>
                      <a:ext cx="6118225" cy="2918460"/>
                    </a:xfrm>
                    <a:prstGeom prst="rect">
                      <a:avLst/>
                    </a:prstGeom>
                  </pic:spPr>
                </pic:pic>
              </a:graphicData>
            </a:graphic>
          </wp:inline>
        </w:drawing>
      </w:r>
    </w:p>
    <w:p>
      <w:pPr>
        <w:pStyle w:val="74"/>
        <w:rPr>
          <w:b w:val="0"/>
        </w:rPr>
      </w:pPr>
      <w:r>
        <w:t xml:space="preserve">Figure </w:t>
      </w:r>
      <w:r>
        <w:rPr>
          <w:rFonts w:hint="eastAsia" w:eastAsia="宋体"/>
          <w:lang w:val="en-US" w:eastAsia="zh-CN"/>
        </w:rPr>
        <w:t>2</w:t>
      </w:r>
      <w:r>
        <w:t xml:space="preserve">: Transmission using PUR for the User Plane CIoT </w:t>
      </w:r>
      <w:r>
        <w:rPr>
          <w:rFonts w:hint="eastAsia" w:eastAsia="宋体"/>
          <w:lang w:val="en-US" w:eastAsia="zh-CN"/>
        </w:rPr>
        <w:t>EPS</w:t>
      </w:r>
      <w:r>
        <w:t xml:space="preserve"> Optimisation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shared PUR pool(s)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 xml:space="preserve">optimisations in Figure 7.3b-2 except that the UE transmits over the </w:t>
      </w:r>
      <w:r>
        <w:rPr>
          <w:rFonts w:hint="eastAsia" w:eastAsia="宋体"/>
          <w:b w:val="0"/>
          <w:bCs/>
          <w:i w:val="0"/>
          <w:iCs w:val="0"/>
          <w:lang w:val="en-US" w:eastAsia="zh-CN"/>
        </w:rPr>
        <w:t xml:space="preserve">shared </w:t>
      </w:r>
      <w:r>
        <w:rPr>
          <w:rFonts w:hint="default" w:eastAsia="宋体"/>
          <w:b w:val="0"/>
          <w:bCs/>
          <w:i w:val="0"/>
          <w:iCs w:val="0"/>
          <w:lang w:val="en-US" w:eastAsia="zh-CN"/>
        </w:rPr>
        <w:t>PUR resource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user data are too large to be fully included in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the UE can use</w:t>
      </w:r>
      <w:r>
        <w:rPr>
          <w:rFonts w:hint="eastAsia" w:eastAsia="宋体"/>
          <w:b w:val="0"/>
          <w:bCs/>
          <w:i w:val="0"/>
          <w:iCs w:val="0"/>
          <w:lang w:val="en-US" w:eastAsia="zh-CN"/>
        </w:rPr>
        <w:t xml:space="preserve"> shared</w:t>
      </w:r>
      <w:r>
        <w:rPr>
          <w:rFonts w:hint="default" w:eastAsia="宋体"/>
          <w:b w:val="0"/>
          <w:bCs/>
          <w:i w:val="0"/>
          <w:iCs w:val="0"/>
          <w:lang w:val="en-US" w:eastAsia="zh-CN"/>
        </w:rPr>
        <w:t xml:space="preserve"> PUR to transmit RRCConnectionResumeRequest and a segment of the user data. The procedure will fall back to the legacy RRC Connection Resume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 xml:space="preserve">shared </w:t>
      </w:r>
      <w:r>
        <w:rPr>
          <w:rFonts w:hint="default" w:eastAsia="宋体"/>
          <w:b w:val="0"/>
          <w:bCs/>
          <w:i w:val="0"/>
          <w:iCs w:val="0"/>
          <w:lang w:val="en-US" w:eastAsia="zh-CN"/>
        </w:rPr>
        <w:t>PUR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2..7 Same as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7.3b-2.</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8</w:t>
      </w:r>
      <w:r>
        <w:rPr>
          <w:rFonts w:hint="default" w:eastAsia="宋体"/>
          <w:b w:val="0"/>
          <w:bCs/>
          <w:i w:val="0"/>
          <w:iCs w:val="0"/>
          <w:lang w:val="en-US" w:eastAsia="zh-CN"/>
        </w:rPr>
        <w:tab/>
      </w:r>
      <w:r>
        <w:t>Same as step 8 in MO-EDT for user Plane CIoT EPS optimisations in Figure 7.3b-2 and a UE Contention Resolution Identity</w:t>
      </w:r>
      <w:r>
        <w:rPr>
          <w:rFonts w:hint="eastAsia" w:eastAsia="宋体"/>
          <w:lang w:val="en-US" w:eastAsia="zh-CN"/>
        </w:rPr>
        <w:t xml:space="preserve"> is</w:t>
      </w:r>
      <w:r>
        <w:t xml:space="preserve"> also included.</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5: If combination EDT and contention-based PUR is supported, the above procedure could be the baseline.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 xml:space="preserve">Fallback mechanism </w:t>
      </w:r>
    </w:p>
    <w:p>
      <w:pPr>
        <w:pStyle w:val="60"/>
        <w:spacing w:after="0"/>
        <w:ind w:left="0" w:firstLine="0"/>
        <w:rPr>
          <w:rFonts w:hint="default" w:eastAsia="宋体"/>
          <w:bCs/>
          <w:lang w:val="en-US" w:eastAsia="zh-CN"/>
        </w:rPr>
      </w:pPr>
      <w:r>
        <w:rPr>
          <w:rFonts w:hint="eastAsia" w:eastAsia="宋体"/>
          <w:lang w:val="en-US" w:eastAsia="zh-CN"/>
        </w:rPr>
        <w:t xml:space="preserve">Then a maximum number of EDT transmissions based on </w:t>
      </w:r>
      <w:r>
        <w:rPr>
          <w:rFonts w:hint="eastAsia" w:eastAsiaTheme="minorEastAsia"/>
          <w:b w:val="0"/>
          <w:bCs w:val="0"/>
          <w:sz w:val="20"/>
          <w:szCs w:val="20"/>
          <w:lang w:val="en-US" w:eastAsia="zh-CN"/>
        </w:rPr>
        <w:t xml:space="preserve">shared PUR resource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6: It is proposed to introduce a maximum number of EDT transmissions based on shared PUR resource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7: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spacing w:after="0"/>
        <w:ind w:left="0" w:firstLine="0"/>
        <w:rPr>
          <w:rFonts w:hint="eastAsia" w:eastAsia="宋体"/>
          <w:b/>
          <w:bCs w:val="0"/>
          <w:i w:val="0"/>
          <w:iCs w:val="0"/>
          <w:lang w:val="en-US" w:eastAsia="zh-CN"/>
        </w:rPr>
      </w:pP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Diversity Slotted ALOHA (DSA) and Contention Resolution Diversity Slotted Aloha (CRDSA)</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Two interesting solutions Diversity Slotted ALOHA (DSA) and Contention Resolution Diversity Slotted Aloha (CRDSA) were discussed in last meeting, some companies prefer to study the solution while some companies pointed out that the CRDSA solution is fascinating but maybe too new for R19, and RAN1 should be also involved. The discussion is postponed to this meeting to </w:t>
      </w:r>
      <w:r>
        <w:t>evaluat</w:t>
      </w:r>
      <w:r>
        <w:rPr>
          <w:rFonts w:hint="eastAsia" w:eastAsia="宋体"/>
          <w:lang w:val="en-US" w:eastAsia="zh-CN"/>
        </w:rPr>
        <w:t>e</w:t>
      </w:r>
      <w:r>
        <w:t xml:space="preserve"> possible impacts on the specification</w:t>
      </w:r>
      <w:r>
        <w:rPr>
          <w:rFonts w:hint="eastAsia" w:eastAsia="宋体"/>
          <w:lang w:val="en-US" w:eastAsia="zh-CN"/>
        </w:rPr>
        <w:t xml:space="preserve"> and whether an LS to RAN1 is needed. </w:t>
      </w:r>
    </w:p>
    <w:p>
      <w:pPr>
        <w:pStyle w:val="60"/>
        <w:spacing w:after="0"/>
        <w:ind w:left="0" w:firstLine="0"/>
        <w:rPr>
          <w:rFonts w:hint="default" w:eastAsia="宋体"/>
          <w:lang w:val="en-US" w:eastAsia="zh-CN"/>
        </w:rPr>
      </w:pPr>
      <w:r>
        <w:rPr>
          <w:rFonts w:hint="eastAsia" w:eastAsia="宋体"/>
          <w:lang w:val="en-US" w:eastAsia="zh-CN"/>
        </w:rPr>
        <w:t>DSA is indicated in [3] that it could help to improve the Msg3 EDT (without msg1) throughput by about a factor of 6 without any impacts on the current receiver implementation at the network, and minimal specification impact overall.</w:t>
      </w:r>
    </w:p>
    <w:p>
      <w:pPr>
        <w:pStyle w:val="60"/>
        <w:spacing w:after="0"/>
        <w:ind w:left="0" w:firstLine="0"/>
        <w:rPr>
          <w:rFonts w:hint="default" w:eastAsia="宋体"/>
          <w:b/>
          <w:bCs w:val="0"/>
          <w:i w:val="0"/>
          <w:iCs w:val="0"/>
          <w:lang w:val="en-US" w:eastAsia="zh-CN"/>
        </w:rPr>
      </w:pPr>
      <w:r>
        <w:rPr>
          <w:rFonts w:hint="eastAsia" w:eastAsia="宋体"/>
          <w:lang w:val="en-US" w:eastAsia="zh-CN"/>
        </w:rPr>
        <w:t xml:space="preserve">Then regarding the CRDSA, it support to generate two or more replicas of the same packet at random time within a frame (as shown in figure 3), each packet includes the slot position information of the corresponding twin packet within the frame and packet collisions could be cleared up through a simple but effective iterative interference cancellation mechanism which is that to use frame composition information from the replica packet. Specifically, if one clean packet 3 in slot 5 is successfully received, then this information could be used to cancel the interference caused by packet 3 in slot 4 and packet 2 could be decoded successfully and so on. With a simple iterative interference cancellation solution, most packets could be recovered. Obviously, the main benefits of CRDSA are packet loss ratio improvement, transmission delay reduction and higher throughput. And in [3] and [4], there are simulation to prove the better throughput performance of the CRDSA compared to DSA. </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object>
          <v:shape id="_x0000_i1025" o:spt="75" type="#_x0000_t75" style="height:109.85pt;width:481.8pt;" o:ole="t" filled="f" o:preferrelative="t" stroked="f" coordsize="21600,21600">
            <v:path/>
            <v:fill on="f" focussize="0,0"/>
            <v:stroke on="f"/>
            <v:imagedata r:id="rId14" o:title=""/>
            <o:lock v:ext="edit" aspectratio="f"/>
            <w10:wrap type="none"/>
            <w10:anchorlock/>
          </v:shape>
          <o:OLEObject Type="Embed" ProgID="Visio.Drawing.11" ShapeID="_x0000_i1025" DrawAspect="Content" ObjectID="_1468075725" r:id="rId13">
            <o:LockedField>false</o:LockedField>
          </o:OLEObject>
        </w:object>
      </w:r>
    </w:p>
    <w:p>
      <w:pPr>
        <w:pStyle w:val="60"/>
        <w:spacing w:after="0"/>
        <w:ind w:left="0" w:firstLine="0"/>
        <w:jc w:val="center"/>
        <w:rPr>
          <w:rFonts w:hint="default" w:eastAsia="宋体"/>
          <w:b/>
          <w:bCs w:val="0"/>
          <w:i w:val="0"/>
          <w:iCs w:val="0"/>
          <w:lang w:val="en-US" w:eastAsia="zh-CN"/>
        </w:rPr>
      </w:pPr>
      <w:r>
        <w:rPr>
          <w:rFonts w:hint="eastAsia" w:eastAsia="宋体"/>
          <w:b/>
          <w:bCs w:val="0"/>
          <w:i w:val="0"/>
          <w:iCs w:val="0"/>
          <w:lang w:val="en-US" w:eastAsia="zh-CN"/>
        </w:rPr>
        <w:t>Figure 3 Example CRDSATDMA frame structure for the Random Access</w:t>
      </w:r>
    </w:p>
    <w:p>
      <w:pPr>
        <w:pStyle w:val="60"/>
        <w:spacing w:after="0"/>
        <w:ind w:left="0" w:firstLine="0"/>
        <w:rPr>
          <w:rFonts w:hint="eastAsia" w:eastAsia="宋体"/>
          <w:b/>
          <w:bCs w:val="0"/>
          <w:i w:val="0"/>
          <w:iCs w:val="0"/>
          <w:lang w:val="en-US" w:eastAsia="zh-CN"/>
        </w:rPr>
      </w:pP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Observation 2: CRDSA provides a better throughput performance of the CRDSA compared to DSA. </w:t>
      </w:r>
    </w:p>
    <w:p>
      <w:pPr>
        <w:pStyle w:val="60"/>
        <w:spacing w:after="0"/>
        <w:ind w:left="0" w:firstLine="0"/>
        <w:rPr>
          <w:rFonts w:hint="eastAsia" w:eastAsia="宋体"/>
          <w:b/>
          <w:bCs w:val="0"/>
          <w:i w:val="0"/>
          <w:iCs w:val="0"/>
          <w:lang w:val="en-US" w:eastAsia="zh-CN"/>
        </w:rPr>
      </w:pPr>
    </w:p>
    <w:p>
      <w:pPr>
        <w:pStyle w:val="60"/>
        <w:spacing w:after="0"/>
        <w:ind w:left="0" w:firstLine="0"/>
        <w:rPr>
          <w:rFonts w:hint="eastAsia" w:eastAsia="宋体"/>
          <w:b w:val="0"/>
          <w:bCs/>
          <w:i w:val="0"/>
          <w:iCs w:val="0"/>
          <w:lang w:val="en-US" w:eastAsia="zh-CN"/>
        </w:rPr>
      </w:pPr>
      <w:r>
        <w:rPr>
          <w:rFonts w:hint="eastAsia" w:eastAsia="宋体"/>
          <w:b w:val="0"/>
          <w:bCs/>
          <w:i w:val="0"/>
          <w:iCs w:val="0"/>
          <w:lang w:val="en-US" w:eastAsia="zh-CN"/>
        </w:rPr>
        <w:t>Although CRDSA have been supported and practically demonstrated in the satellite DVB-RCS2 standard and may be beneficial for IoT-NTN [3], while for R19, such CRDSA or similar schemes may be too innovative and high packets load would also lead to dead lock issue. Therefore in R19 IoT-NTN, suggest RAN2 deprioritize the discussion of CRDSA in R19 considering the limited TUs or if majority prefer to discuss, an LS to RAN1 to make more evaluation about CRDSA or similar schemes is needed.</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8: It is proposed that deprioritize the discussion of CRDSA in R19 considering the limited TUs or if majority prefer to discuss, an LS to RAN1 to make more evaluation about CRDSA or similar schemes is needed.</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1: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1: For the trigger of contention-based Msg3 transmission in IoT-NTN, it is at least to support the establishment or resumption of the RRC Connection requested by the upper layers.</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2: For the Msg3 content in contention-based Msg3 transmission for EDT in IoT-NTN, the Msg3 content in current MO-EDT could be the baseline.</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3: For resource allocation, one or more contention-based PUR pool(s) could be configured via broadcast manner.</w:t>
      </w:r>
    </w:p>
    <w:p>
      <w:pPr>
        <w:pStyle w:val="60"/>
        <w:spacing w:after="0"/>
        <w:ind w:left="0" w:firstLine="0"/>
        <w:rPr>
          <w:rFonts w:hint="eastAsia" w:eastAsia="宋体"/>
          <w:lang w:val="en-US" w:eastAsia="zh-CN"/>
        </w:rPr>
      </w:pPr>
      <w:r>
        <w:rPr>
          <w:rFonts w:hint="eastAsia" w:eastAsia="宋体"/>
          <w:b/>
          <w:bCs w:val="0"/>
          <w:i w:val="0"/>
          <w:iCs w:val="0"/>
          <w:lang w:val="en-US" w:eastAsia="zh-CN"/>
        </w:rPr>
        <w:t>Proposal 4: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5: If combination EDT and contention-based PUR is supported, the above procedure could be the baseline.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6: It is proposed to introduce a maximum number of EDT transmissions based on shared PUR resource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7: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spacing w:after="0"/>
        <w:ind w:left="0" w:firstLine="0"/>
        <w:rPr>
          <w:rFonts w:hint="eastAsia" w:eastAsia="宋体"/>
          <w:b/>
          <w:bCs w:val="0"/>
          <w:i w:val="0"/>
          <w:iCs w:val="0"/>
          <w:lang w:val="en-US" w:eastAsia="zh-CN"/>
        </w:rPr>
      </w:pP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Observation 2: CRDSA provides a better throughput performance of the CRDSA compared to DSA. </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8: It is proposed that deprioritize the discussion of CRDSA in R19 considering the limited TUs or if majority prefer to discuss, an LS to RAN1 to make more evaluation about CRDSA or similar schemes is needed.</w:t>
      </w:r>
    </w:p>
    <w:p>
      <w:pPr>
        <w:pStyle w:val="2"/>
        <w:rPr>
          <w:rFonts w:cs="Arial"/>
          <w:sz w:val="32"/>
          <w:szCs w:val="32"/>
        </w:rPr>
      </w:pPr>
      <w:r>
        <w:rPr>
          <w:rFonts w:cs="Arial"/>
          <w:sz w:val="32"/>
          <w:szCs w:val="32"/>
        </w:rPr>
        <w:t>Reference</w:t>
      </w:r>
    </w:p>
    <w:p>
      <w:pPr>
        <w:pStyle w:val="29"/>
        <w:numPr>
          <w:ilvl w:val="0"/>
          <w:numId w:val="13"/>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R2-126 NR-NTN-IoT-NTN (Sergio) EOM</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R2-2405202</w:t>
      </w:r>
      <w:r>
        <w:rPr>
          <w:rFonts w:hint="eastAsia"/>
          <w:sz w:val="20"/>
          <w:szCs w:val="20"/>
        </w:rPr>
        <w:tab/>
      </w:r>
      <w:r>
        <w:rPr>
          <w:rFonts w:hint="eastAsia"/>
          <w:sz w:val="20"/>
          <w:szCs w:val="20"/>
        </w:rPr>
        <w:t>Discussion on Msg3-EDT enhancements</w:t>
      </w:r>
      <w:r>
        <w:rPr>
          <w:rFonts w:hint="eastAsia"/>
          <w:sz w:val="20"/>
          <w:szCs w:val="20"/>
        </w:rPr>
        <w:tab/>
      </w:r>
      <w:r>
        <w:rPr>
          <w:rFonts w:hint="eastAsia"/>
          <w:sz w:val="20"/>
          <w:szCs w:val="20"/>
        </w:rPr>
        <w:t>ESA</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Rel-19</w:t>
      </w:r>
    </w:p>
    <w:p>
      <w:pPr>
        <w:pStyle w:val="29"/>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E. Casini, R. De Gaudenzi and O. Del Rio Herrero, "Contention Resolution Diversity Slotted ALOHA (CRDSA): An Enhanced Random-Access Scheme for Satellite Access Packet Networks," in IEEE Transactions on Wireless Communications, vol. 6, no. 4, pp. 1408-1419, April 2007.</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12F7439E"/>
    <w:multiLevelType w:val="multilevel"/>
    <w:tmpl w:val="12F7439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44F120B"/>
    <w:multiLevelType w:val="singleLevel"/>
    <w:tmpl w:val="144F120B"/>
    <w:lvl w:ilvl="0" w:tentative="0">
      <w:start w:val="1"/>
      <w:numFmt w:val="bullet"/>
      <w:lvlText w:val=""/>
      <w:lvlJc w:val="left"/>
      <w:pPr>
        <w:ind w:left="420" w:hanging="420"/>
      </w:pPr>
      <w:rPr>
        <w:rFonts w:hint="default" w:ascii="Wingdings" w:hAnsi="Wingdings"/>
      </w:r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B631E"/>
    <w:rsid w:val="016318F9"/>
    <w:rsid w:val="017A73D0"/>
    <w:rsid w:val="018E0749"/>
    <w:rsid w:val="019A10AD"/>
    <w:rsid w:val="01BF172D"/>
    <w:rsid w:val="01E74520"/>
    <w:rsid w:val="022F4B03"/>
    <w:rsid w:val="02744528"/>
    <w:rsid w:val="028D67E7"/>
    <w:rsid w:val="02CC0A1F"/>
    <w:rsid w:val="035845AA"/>
    <w:rsid w:val="03A11802"/>
    <w:rsid w:val="03F47F88"/>
    <w:rsid w:val="048A5003"/>
    <w:rsid w:val="04A13B04"/>
    <w:rsid w:val="04B403C6"/>
    <w:rsid w:val="04BC080F"/>
    <w:rsid w:val="04BF107F"/>
    <w:rsid w:val="04D25727"/>
    <w:rsid w:val="04DA176A"/>
    <w:rsid w:val="04F07943"/>
    <w:rsid w:val="04F50E2F"/>
    <w:rsid w:val="05606A49"/>
    <w:rsid w:val="05983EBC"/>
    <w:rsid w:val="05A35E9B"/>
    <w:rsid w:val="06077EDA"/>
    <w:rsid w:val="06254DA5"/>
    <w:rsid w:val="06261BBF"/>
    <w:rsid w:val="0654248D"/>
    <w:rsid w:val="06565EAE"/>
    <w:rsid w:val="078C1F33"/>
    <w:rsid w:val="07B241B1"/>
    <w:rsid w:val="07B959B1"/>
    <w:rsid w:val="07BD374D"/>
    <w:rsid w:val="07E769A5"/>
    <w:rsid w:val="07EF7893"/>
    <w:rsid w:val="08350D3C"/>
    <w:rsid w:val="083F0917"/>
    <w:rsid w:val="0841118C"/>
    <w:rsid w:val="08AF444E"/>
    <w:rsid w:val="08F65DA6"/>
    <w:rsid w:val="09133D3D"/>
    <w:rsid w:val="09BB5B6F"/>
    <w:rsid w:val="09E47F26"/>
    <w:rsid w:val="09F46CE4"/>
    <w:rsid w:val="0A1A51CE"/>
    <w:rsid w:val="0A3F21EB"/>
    <w:rsid w:val="0A5E59A5"/>
    <w:rsid w:val="0A9740DA"/>
    <w:rsid w:val="0AA40C7E"/>
    <w:rsid w:val="0ACC0F45"/>
    <w:rsid w:val="0B4A1814"/>
    <w:rsid w:val="0B510D2F"/>
    <w:rsid w:val="0B767B3C"/>
    <w:rsid w:val="0BD60B5C"/>
    <w:rsid w:val="0C0E133A"/>
    <w:rsid w:val="0C4B2410"/>
    <w:rsid w:val="0C984883"/>
    <w:rsid w:val="0CAE5B2E"/>
    <w:rsid w:val="0CD409FF"/>
    <w:rsid w:val="0D524167"/>
    <w:rsid w:val="0D587FCA"/>
    <w:rsid w:val="0D681ED9"/>
    <w:rsid w:val="0D6C179F"/>
    <w:rsid w:val="0DA013F6"/>
    <w:rsid w:val="0DDB664A"/>
    <w:rsid w:val="0E891356"/>
    <w:rsid w:val="0E997EF0"/>
    <w:rsid w:val="0EC440FF"/>
    <w:rsid w:val="0EF139CD"/>
    <w:rsid w:val="0FB354FB"/>
    <w:rsid w:val="0FCC0A5A"/>
    <w:rsid w:val="0FE0018D"/>
    <w:rsid w:val="10221AC0"/>
    <w:rsid w:val="108131DD"/>
    <w:rsid w:val="11043CD0"/>
    <w:rsid w:val="110F10D1"/>
    <w:rsid w:val="118D209C"/>
    <w:rsid w:val="11B82D63"/>
    <w:rsid w:val="11C5063A"/>
    <w:rsid w:val="12B27083"/>
    <w:rsid w:val="12BA7EC6"/>
    <w:rsid w:val="13116F0E"/>
    <w:rsid w:val="13132FCE"/>
    <w:rsid w:val="134A0035"/>
    <w:rsid w:val="135C7F4F"/>
    <w:rsid w:val="1382544E"/>
    <w:rsid w:val="13997B36"/>
    <w:rsid w:val="141B1C76"/>
    <w:rsid w:val="14A20FFB"/>
    <w:rsid w:val="14B82DC6"/>
    <w:rsid w:val="153214F9"/>
    <w:rsid w:val="153372CB"/>
    <w:rsid w:val="16150148"/>
    <w:rsid w:val="16563130"/>
    <w:rsid w:val="169343E9"/>
    <w:rsid w:val="16AA08E2"/>
    <w:rsid w:val="16F24CA6"/>
    <w:rsid w:val="171B31CF"/>
    <w:rsid w:val="177E36D0"/>
    <w:rsid w:val="179450F0"/>
    <w:rsid w:val="17945CA4"/>
    <w:rsid w:val="180E362D"/>
    <w:rsid w:val="181B2E1C"/>
    <w:rsid w:val="18571522"/>
    <w:rsid w:val="18787128"/>
    <w:rsid w:val="18B278BB"/>
    <w:rsid w:val="18B9619D"/>
    <w:rsid w:val="190A668D"/>
    <w:rsid w:val="191242AE"/>
    <w:rsid w:val="195B3A6D"/>
    <w:rsid w:val="19AC5C42"/>
    <w:rsid w:val="19BC1AC5"/>
    <w:rsid w:val="19D92839"/>
    <w:rsid w:val="1A201089"/>
    <w:rsid w:val="1A330485"/>
    <w:rsid w:val="1A913825"/>
    <w:rsid w:val="1AA366F2"/>
    <w:rsid w:val="1AC82085"/>
    <w:rsid w:val="1AEF5DBD"/>
    <w:rsid w:val="1B423649"/>
    <w:rsid w:val="1B510746"/>
    <w:rsid w:val="1BA24967"/>
    <w:rsid w:val="1BD95F94"/>
    <w:rsid w:val="1BDA5141"/>
    <w:rsid w:val="1C3D1CD0"/>
    <w:rsid w:val="1C5E7298"/>
    <w:rsid w:val="1C851710"/>
    <w:rsid w:val="1C917FBA"/>
    <w:rsid w:val="1DD14FB1"/>
    <w:rsid w:val="1DDD518B"/>
    <w:rsid w:val="1E1507D7"/>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FE42D5"/>
    <w:rsid w:val="211313D4"/>
    <w:rsid w:val="21234291"/>
    <w:rsid w:val="21E52206"/>
    <w:rsid w:val="21F86645"/>
    <w:rsid w:val="22C4562D"/>
    <w:rsid w:val="23144387"/>
    <w:rsid w:val="234E7F45"/>
    <w:rsid w:val="23686144"/>
    <w:rsid w:val="239A17D4"/>
    <w:rsid w:val="239F51B6"/>
    <w:rsid w:val="241B2FD5"/>
    <w:rsid w:val="242445BB"/>
    <w:rsid w:val="243F039F"/>
    <w:rsid w:val="245B6D34"/>
    <w:rsid w:val="24B5447A"/>
    <w:rsid w:val="24B82068"/>
    <w:rsid w:val="24E10292"/>
    <w:rsid w:val="25043CC9"/>
    <w:rsid w:val="265D0D96"/>
    <w:rsid w:val="269447EB"/>
    <w:rsid w:val="26D47A62"/>
    <w:rsid w:val="27306E68"/>
    <w:rsid w:val="27606908"/>
    <w:rsid w:val="276D70AB"/>
    <w:rsid w:val="277E77C1"/>
    <w:rsid w:val="27AE47D9"/>
    <w:rsid w:val="27E26E59"/>
    <w:rsid w:val="2809471B"/>
    <w:rsid w:val="28255BB3"/>
    <w:rsid w:val="285478B9"/>
    <w:rsid w:val="28603CA4"/>
    <w:rsid w:val="287D5E75"/>
    <w:rsid w:val="28AD0B61"/>
    <w:rsid w:val="29423CBE"/>
    <w:rsid w:val="29CD3FA9"/>
    <w:rsid w:val="2A1862C4"/>
    <w:rsid w:val="2A4B23FB"/>
    <w:rsid w:val="2AC455D6"/>
    <w:rsid w:val="2AC82235"/>
    <w:rsid w:val="2AF0613E"/>
    <w:rsid w:val="2B083F92"/>
    <w:rsid w:val="2B542A45"/>
    <w:rsid w:val="2BB96BD3"/>
    <w:rsid w:val="2BC72D99"/>
    <w:rsid w:val="2BE54292"/>
    <w:rsid w:val="2BFC2B9D"/>
    <w:rsid w:val="2C285659"/>
    <w:rsid w:val="2C9F2631"/>
    <w:rsid w:val="2CF51ED1"/>
    <w:rsid w:val="2CFA23BD"/>
    <w:rsid w:val="2D3B228A"/>
    <w:rsid w:val="2D5923F4"/>
    <w:rsid w:val="2D8523AE"/>
    <w:rsid w:val="2DB6192E"/>
    <w:rsid w:val="2DF36570"/>
    <w:rsid w:val="2E103F98"/>
    <w:rsid w:val="2EB775B3"/>
    <w:rsid w:val="2ECD5251"/>
    <w:rsid w:val="2EE85B84"/>
    <w:rsid w:val="2EF94A67"/>
    <w:rsid w:val="2EFC31BC"/>
    <w:rsid w:val="2F2F4C2C"/>
    <w:rsid w:val="2F3D4E71"/>
    <w:rsid w:val="302E07AF"/>
    <w:rsid w:val="30866EAA"/>
    <w:rsid w:val="30946552"/>
    <w:rsid w:val="309E20B5"/>
    <w:rsid w:val="30F3431F"/>
    <w:rsid w:val="311B0263"/>
    <w:rsid w:val="31503E5A"/>
    <w:rsid w:val="316D7D0D"/>
    <w:rsid w:val="319D3380"/>
    <w:rsid w:val="31AE180F"/>
    <w:rsid w:val="326B2AB6"/>
    <w:rsid w:val="32A942B0"/>
    <w:rsid w:val="32F13120"/>
    <w:rsid w:val="333000CE"/>
    <w:rsid w:val="333663A2"/>
    <w:rsid w:val="335B55F1"/>
    <w:rsid w:val="33863C3A"/>
    <w:rsid w:val="33A81036"/>
    <w:rsid w:val="33E26367"/>
    <w:rsid w:val="33F614DE"/>
    <w:rsid w:val="34207E90"/>
    <w:rsid w:val="342C61EA"/>
    <w:rsid w:val="34914DCA"/>
    <w:rsid w:val="34C6331F"/>
    <w:rsid w:val="34D95BB9"/>
    <w:rsid w:val="34F97D00"/>
    <w:rsid w:val="35050B53"/>
    <w:rsid w:val="354D014F"/>
    <w:rsid w:val="35502BD2"/>
    <w:rsid w:val="361C2353"/>
    <w:rsid w:val="3635547B"/>
    <w:rsid w:val="365C6586"/>
    <w:rsid w:val="36746B61"/>
    <w:rsid w:val="36A9407C"/>
    <w:rsid w:val="36CA7953"/>
    <w:rsid w:val="36FA1D41"/>
    <w:rsid w:val="37C2178A"/>
    <w:rsid w:val="37E26F6D"/>
    <w:rsid w:val="37E93248"/>
    <w:rsid w:val="37F97B97"/>
    <w:rsid w:val="380411EC"/>
    <w:rsid w:val="3829480D"/>
    <w:rsid w:val="383529C2"/>
    <w:rsid w:val="383C5BD0"/>
    <w:rsid w:val="38536D3F"/>
    <w:rsid w:val="387B61F0"/>
    <w:rsid w:val="387D26D9"/>
    <w:rsid w:val="388727CC"/>
    <w:rsid w:val="39024B57"/>
    <w:rsid w:val="3A02147B"/>
    <w:rsid w:val="3A06167E"/>
    <w:rsid w:val="3A3665DD"/>
    <w:rsid w:val="3A6F42D5"/>
    <w:rsid w:val="3A82293D"/>
    <w:rsid w:val="3A9E2AD9"/>
    <w:rsid w:val="3AC57875"/>
    <w:rsid w:val="3AE309A9"/>
    <w:rsid w:val="3AEF40DA"/>
    <w:rsid w:val="3B596DF7"/>
    <w:rsid w:val="3BC23F1A"/>
    <w:rsid w:val="3BC52C1E"/>
    <w:rsid w:val="3C2A7289"/>
    <w:rsid w:val="3C5503C9"/>
    <w:rsid w:val="3C6D30EA"/>
    <w:rsid w:val="3C6D47EB"/>
    <w:rsid w:val="3CD8469E"/>
    <w:rsid w:val="3D2C7D07"/>
    <w:rsid w:val="3D2E7413"/>
    <w:rsid w:val="3D406D01"/>
    <w:rsid w:val="3D4E0A24"/>
    <w:rsid w:val="3D5934AC"/>
    <w:rsid w:val="3D966C01"/>
    <w:rsid w:val="3DA51E2F"/>
    <w:rsid w:val="3DB43891"/>
    <w:rsid w:val="3E0B7BD9"/>
    <w:rsid w:val="3E267F59"/>
    <w:rsid w:val="3E4456FC"/>
    <w:rsid w:val="3EA877DC"/>
    <w:rsid w:val="3F1E12A1"/>
    <w:rsid w:val="3F7117D8"/>
    <w:rsid w:val="3FEB0FB3"/>
    <w:rsid w:val="40325295"/>
    <w:rsid w:val="407C021F"/>
    <w:rsid w:val="40F33173"/>
    <w:rsid w:val="40F82E28"/>
    <w:rsid w:val="41585AC3"/>
    <w:rsid w:val="41B34CCB"/>
    <w:rsid w:val="41C87C60"/>
    <w:rsid w:val="41C96466"/>
    <w:rsid w:val="41F85DEA"/>
    <w:rsid w:val="420610DF"/>
    <w:rsid w:val="429544E1"/>
    <w:rsid w:val="42CE6929"/>
    <w:rsid w:val="42F71CEC"/>
    <w:rsid w:val="43DF4E15"/>
    <w:rsid w:val="43E53BCD"/>
    <w:rsid w:val="43F03364"/>
    <w:rsid w:val="443B107F"/>
    <w:rsid w:val="44776D6B"/>
    <w:rsid w:val="44843D36"/>
    <w:rsid w:val="44B14540"/>
    <w:rsid w:val="44BA7E1E"/>
    <w:rsid w:val="44BE79C3"/>
    <w:rsid w:val="455340E3"/>
    <w:rsid w:val="45CA31DA"/>
    <w:rsid w:val="45EC6821"/>
    <w:rsid w:val="45F303D0"/>
    <w:rsid w:val="45F84858"/>
    <w:rsid w:val="462356B3"/>
    <w:rsid w:val="464004CF"/>
    <w:rsid w:val="4673772B"/>
    <w:rsid w:val="46A55352"/>
    <w:rsid w:val="46B51FCF"/>
    <w:rsid w:val="46BA0199"/>
    <w:rsid w:val="46FF6AF5"/>
    <w:rsid w:val="47062A9A"/>
    <w:rsid w:val="476E313F"/>
    <w:rsid w:val="47993F84"/>
    <w:rsid w:val="47BD666C"/>
    <w:rsid w:val="47DB6CDA"/>
    <w:rsid w:val="480A17DC"/>
    <w:rsid w:val="4896658D"/>
    <w:rsid w:val="497F7FCC"/>
    <w:rsid w:val="49B17433"/>
    <w:rsid w:val="4A284A82"/>
    <w:rsid w:val="4A662E1D"/>
    <w:rsid w:val="4A7E32B4"/>
    <w:rsid w:val="4AF07359"/>
    <w:rsid w:val="4AFC533A"/>
    <w:rsid w:val="4B1367B9"/>
    <w:rsid w:val="4B316DE7"/>
    <w:rsid w:val="4B565C38"/>
    <w:rsid w:val="4B6D7831"/>
    <w:rsid w:val="4B8D0855"/>
    <w:rsid w:val="4B920891"/>
    <w:rsid w:val="4BB221B4"/>
    <w:rsid w:val="4C353BC7"/>
    <w:rsid w:val="4C5D54D6"/>
    <w:rsid w:val="4C814518"/>
    <w:rsid w:val="4C91315E"/>
    <w:rsid w:val="4CAD0872"/>
    <w:rsid w:val="4CCE50CA"/>
    <w:rsid w:val="4D3A24A4"/>
    <w:rsid w:val="4D594475"/>
    <w:rsid w:val="4D762F64"/>
    <w:rsid w:val="4DB06342"/>
    <w:rsid w:val="4DEC01C6"/>
    <w:rsid w:val="4DF158ED"/>
    <w:rsid w:val="4E0C3478"/>
    <w:rsid w:val="4E207448"/>
    <w:rsid w:val="4E4D0205"/>
    <w:rsid w:val="4EC83A06"/>
    <w:rsid w:val="4F1C0A54"/>
    <w:rsid w:val="4F235FC8"/>
    <w:rsid w:val="4F2C3853"/>
    <w:rsid w:val="4F7F20AA"/>
    <w:rsid w:val="4F873909"/>
    <w:rsid w:val="4F9510BA"/>
    <w:rsid w:val="4FF617D6"/>
    <w:rsid w:val="50507ECA"/>
    <w:rsid w:val="506B2DFC"/>
    <w:rsid w:val="508F3931"/>
    <w:rsid w:val="50E64646"/>
    <w:rsid w:val="50FC2CFB"/>
    <w:rsid w:val="513A3326"/>
    <w:rsid w:val="513B4B9D"/>
    <w:rsid w:val="515C13CF"/>
    <w:rsid w:val="516A6684"/>
    <w:rsid w:val="518C6DB2"/>
    <w:rsid w:val="51AF5989"/>
    <w:rsid w:val="51E25CE3"/>
    <w:rsid w:val="51E261D3"/>
    <w:rsid w:val="51EA16FB"/>
    <w:rsid w:val="5223684A"/>
    <w:rsid w:val="52A32CE7"/>
    <w:rsid w:val="52A955AB"/>
    <w:rsid w:val="532C26FC"/>
    <w:rsid w:val="53322A76"/>
    <w:rsid w:val="53C54AA3"/>
    <w:rsid w:val="547F5841"/>
    <w:rsid w:val="54A648D1"/>
    <w:rsid w:val="54D81A93"/>
    <w:rsid w:val="54DB29BD"/>
    <w:rsid w:val="54E44ED6"/>
    <w:rsid w:val="5529069B"/>
    <w:rsid w:val="55571991"/>
    <w:rsid w:val="566931AC"/>
    <w:rsid w:val="56F374FB"/>
    <w:rsid w:val="57613A81"/>
    <w:rsid w:val="58532B7C"/>
    <w:rsid w:val="58D81F5B"/>
    <w:rsid w:val="592D06A1"/>
    <w:rsid w:val="59620232"/>
    <w:rsid w:val="59A00F56"/>
    <w:rsid w:val="59B24039"/>
    <w:rsid w:val="59DA5A4F"/>
    <w:rsid w:val="5A31005C"/>
    <w:rsid w:val="5A637CC1"/>
    <w:rsid w:val="5B0260D0"/>
    <w:rsid w:val="5B3D7266"/>
    <w:rsid w:val="5B8D1AC1"/>
    <w:rsid w:val="5BA3592C"/>
    <w:rsid w:val="5BAB7539"/>
    <w:rsid w:val="5BCE0DEA"/>
    <w:rsid w:val="5C610721"/>
    <w:rsid w:val="5C8B6FF1"/>
    <w:rsid w:val="5CFE4143"/>
    <w:rsid w:val="5D13255A"/>
    <w:rsid w:val="5D331782"/>
    <w:rsid w:val="5D502A92"/>
    <w:rsid w:val="5E204AD7"/>
    <w:rsid w:val="5E4C6102"/>
    <w:rsid w:val="5E6D4BC0"/>
    <w:rsid w:val="5EEA5BA3"/>
    <w:rsid w:val="5F3E69CE"/>
    <w:rsid w:val="5FE11ED3"/>
    <w:rsid w:val="6009519E"/>
    <w:rsid w:val="603D2CDD"/>
    <w:rsid w:val="60AD5F5F"/>
    <w:rsid w:val="60D525F3"/>
    <w:rsid w:val="60E30438"/>
    <w:rsid w:val="61127BCE"/>
    <w:rsid w:val="611E5441"/>
    <w:rsid w:val="612D3C7B"/>
    <w:rsid w:val="617C2D8F"/>
    <w:rsid w:val="61826F89"/>
    <w:rsid w:val="623E2101"/>
    <w:rsid w:val="62757735"/>
    <w:rsid w:val="62947A1C"/>
    <w:rsid w:val="62A109BE"/>
    <w:rsid w:val="62CD6DE1"/>
    <w:rsid w:val="62E70A4E"/>
    <w:rsid w:val="62FD4A9D"/>
    <w:rsid w:val="632C6FC4"/>
    <w:rsid w:val="634B3FF6"/>
    <w:rsid w:val="63DA517F"/>
    <w:rsid w:val="64460ECC"/>
    <w:rsid w:val="644F5E22"/>
    <w:rsid w:val="64681DB1"/>
    <w:rsid w:val="64902A98"/>
    <w:rsid w:val="64D843A5"/>
    <w:rsid w:val="64E46FA4"/>
    <w:rsid w:val="652B7ADD"/>
    <w:rsid w:val="657E520F"/>
    <w:rsid w:val="663B46C9"/>
    <w:rsid w:val="663F30CF"/>
    <w:rsid w:val="66F93E1B"/>
    <w:rsid w:val="67413BF6"/>
    <w:rsid w:val="6755359A"/>
    <w:rsid w:val="67A7418D"/>
    <w:rsid w:val="67D27C62"/>
    <w:rsid w:val="67D67A95"/>
    <w:rsid w:val="67DF6978"/>
    <w:rsid w:val="694E04D2"/>
    <w:rsid w:val="695664EF"/>
    <w:rsid w:val="69653491"/>
    <w:rsid w:val="698044A5"/>
    <w:rsid w:val="69E66B78"/>
    <w:rsid w:val="6A510F7A"/>
    <w:rsid w:val="6A7259EE"/>
    <w:rsid w:val="6AA67E64"/>
    <w:rsid w:val="6AF21A55"/>
    <w:rsid w:val="6B0D712F"/>
    <w:rsid w:val="6B28575B"/>
    <w:rsid w:val="6B472B04"/>
    <w:rsid w:val="6B827ED3"/>
    <w:rsid w:val="6BD66216"/>
    <w:rsid w:val="6BE4485D"/>
    <w:rsid w:val="6BFE3795"/>
    <w:rsid w:val="6C1E113E"/>
    <w:rsid w:val="6C3B11AE"/>
    <w:rsid w:val="6C3B431E"/>
    <w:rsid w:val="6C857DA8"/>
    <w:rsid w:val="6CC1587C"/>
    <w:rsid w:val="6D266267"/>
    <w:rsid w:val="6D2B74AA"/>
    <w:rsid w:val="6D697BC3"/>
    <w:rsid w:val="6D7111BC"/>
    <w:rsid w:val="6DCA5CB9"/>
    <w:rsid w:val="6E08583A"/>
    <w:rsid w:val="6E280F38"/>
    <w:rsid w:val="6E5408E4"/>
    <w:rsid w:val="6E8A21F7"/>
    <w:rsid w:val="6ECB7942"/>
    <w:rsid w:val="6F000F0B"/>
    <w:rsid w:val="6F197436"/>
    <w:rsid w:val="6F2867BD"/>
    <w:rsid w:val="6F44559B"/>
    <w:rsid w:val="70115BE8"/>
    <w:rsid w:val="703A2630"/>
    <w:rsid w:val="70561E49"/>
    <w:rsid w:val="709C594C"/>
    <w:rsid w:val="70C723A5"/>
    <w:rsid w:val="71D0045B"/>
    <w:rsid w:val="71D05F49"/>
    <w:rsid w:val="71F773F9"/>
    <w:rsid w:val="720F4381"/>
    <w:rsid w:val="725E4C39"/>
    <w:rsid w:val="73090FE2"/>
    <w:rsid w:val="73265607"/>
    <w:rsid w:val="73522B35"/>
    <w:rsid w:val="7399271A"/>
    <w:rsid w:val="73EC173C"/>
    <w:rsid w:val="73F82EA2"/>
    <w:rsid w:val="7435596C"/>
    <w:rsid w:val="74722C9A"/>
    <w:rsid w:val="747E452E"/>
    <w:rsid w:val="74880357"/>
    <w:rsid w:val="74A647DF"/>
    <w:rsid w:val="74FA5A4A"/>
    <w:rsid w:val="751A36A3"/>
    <w:rsid w:val="754B57C9"/>
    <w:rsid w:val="755F161D"/>
    <w:rsid w:val="75884210"/>
    <w:rsid w:val="75BD4A84"/>
    <w:rsid w:val="75EA7003"/>
    <w:rsid w:val="760D56E2"/>
    <w:rsid w:val="76EE218C"/>
    <w:rsid w:val="772E0B03"/>
    <w:rsid w:val="773C532B"/>
    <w:rsid w:val="77642276"/>
    <w:rsid w:val="778A542A"/>
    <w:rsid w:val="77C177F8"/>
    <w:rsid w:val="77DB3F30"/>
    <w:rsid w:val="77EF5E51"/>
    <w:rsid w:val="789A3CEC"/>
    <w:rsid w:val="79332F0B"/>
    <w:rsid w:val="796923D7"/>
    <w:rsid w:val="79C11BD2"/>
    <w:rsid w:val="79E8078D"/>
    <w:rsid w:val="7A3422EE"/>
    <w:rsid w:val="7A4774F3"/>
    <w:rsid w:val="7AA678C6"/>
    <w:rsid w:val="7B113087"/>
    <w:rsid w:val="7B230F9F"/>
    <w:rsid w:val="7B5441DD"/>
    <w:rsid w:val="7B9D3F28"/>
    <w:rsid w:val="7B9E2E7D"/>
    <w:rsid w:val="7BB92BA6"/>
    <w:rsid w:val="7BEA35A6"/>
    <w:rsid w:val="7C050B07"/>
    <w:rsid w:val="7C9E7A01"/>
    <w:rsid w:val="7D2E186E"/>
    <w:rsid w:val="7D8F4D8B"/>
    <w:rsid w:val="7DBA4407"/>
    <w:rsid w:val="7DD14D63"/>
    <w:rsid w:val="7E04089A"/>
    <w:rsid w:val="7E0773D0"/>
    <w:rsid w:val="7E256583"/>
    <w:rsid w:val="7E5D66DD"/>
    <w:rsid w:val="7E734104"/>
    <w:rsid w:val="7E7C3173"/>
    <w:rsid w:val="7EEE5FCC"/>
    <w:rsid w:val="7F2E279D"/>
    <w:rsid w:val="7F60044C"/>
    <w:rsid w:val="7F7054DF"/>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2024-08-09T02:48:04Z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A472BC6D4FCB41C9AE7AFC81A81D01FE</vt:lpwstr>
  </property>
</Properties>
</file>